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Паспорт проекта дома — Планари ИЖС</w:t>
      </w:r>
    </w:p>
    <w:p>
      <w:r>
        <w:t>Кадастровый № 50:26:0170301:1 · Почтовый адрес ориентира: Российская Федерация, город Москва, вн.тер.г. муниципальный округ Внуково, хутор Брёхово, улица Помидорная, земельный участок 13 · предварительный документ, редактируйте под свой объект.</w:t>
      </w:r>
    </w:p>
    <w:p>
      <w:pPr>
        <w:pStyle w:val="Heading1"/>
      </w:pPr>
      <w:r>
        <w:t>О вашем участке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rPr>
          <w:tblHeader w:val="true"/>
          <w:cantSplit w:val="true"/>
        </w:trPr>
        <w:tc>
          <w:tcPr>
            <w:tcW w:type="dxa" w:w="4844"/>
          </w:tcPr>
          <w:p>
            <w:r/>
            <w:r>
              <w:rPr>
                <w:b/>
              </w:rPr>
              <w:t>Параметр</w:t>
            </w:r>
          </w:p>
        </w:tc>
        <w:tc>
          <w:tcPr>
            <w:tcW w:type="dxa" w:w="4844"/>
          </w:tcPr>
          <w:p>
            <w:r/>
            <w:r>
              <w:rPr>
                <w:b/>
              </w:rPr>
              <w:t>Значение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Категория земель</w:t>
            </w:r>
          </w:p>
        </w:tc>
        <w:tc>
          <w:tcPr>
            <w:tcW w:type="dxa" w:w="4844"/>
          </w:tcPr>
          <w:p>
            <w:r>
              <w:t>Земли населенных пунктов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Разрешённое использование</w:t>
            </w:r>
          </w:p>
        </w:tc>
        <w:tc>
          <w:tcPr>
            <w:tcW w:type="dxa" w:w="4844"/>
          </w:tcPr>
          <w:p>
            <w:r>
              <w:t>для индивидуального  жилищного  строительства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Кадастровая стоимость</w:t>
            </w:r>
          </w:p>
        </w:tc>
        <w:tc>
          <w:tcPr>
            <w:tcW w:type="dxa" w:w="4844"/>
          </w:tcPr>
          <w:p>
            <w:r>
              <w:t>4 226 730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Площадь · широта</w:t>
            </w:r>
          </w:p>
        </w:tc>
        <w:tc>
          <w:tcPr>
            <w:tcW w:type="dxa" w:w="4844"/>
          </w:tcPr>
          <w:p>
            <w:r>
              <w:t>992.1 м² · 55.5999°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Рельеф</w:t>
            </w:r>
          </w:p>
        </w:tc>
        <w:tc>
          <w:tcPr>
            <w:tcW w:type="dxa" w:w="4844"/>
          </w:tcPr>
          <w:p>
            <w:r>
              <w:t>уклон 3.0%, сток на З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Геология</w:t>
            </w:r>
          </w:p>
        </w:tc>
        <w:tc>
          <w:tcPr>
            <w:tcW w:type="dxa" w:w="4844"/>
          </w:tcPr>
          <w:p>
            <w:r>
              <w:t>песчаник</w:t>
            </w:r>
          </w:p>
        </w:tc>
      </w:tr>
    </w:tbl>
    <w:p>
      <w:pPr>
        <w:pStyle w:val="Heading1"/>
      </w:pPr>
      <w:r>
        <w:t>Дом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rPr>
          <w:tblHeader w:val="true"/>
          <w:cantSplit w:val="true"/>
        </w:trPr>
        <w:tc>
          <w:tcPr>
            <w:tcW w:type="dxa" w:w="4844"/>
          </w:tcPr>
          <w:p>
            <w:r/>
            <w:r>
              <w:rPr>
                <w:b/>
              </w:rPr>
              <w:t>Параметр</w:t>
            </w:r>
          </w:p>
        </w:tc>
        <w:tc>
          <w:tcPr>
            <w:tcW w:type="dxa" w:w="4844"/>
          </w:tcPr>
          <w:p>
            <w:r/>
            <w:r>
              <w:rPr>
                <w:b/>
              </w:rPr>
              <w:t>Значение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Габарит</w:t>
            </w:r>
          </w:p>
        </w:tc>
        <w:tc>
          <w:tcPr>
            <w:tcW w:type="dxa" w:w="4844"/>
          </w:tcPr>
          <w:p>
            <w:r>
              <w:t>9.0×11.0 м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Пятно застройки</w:t>
            </w:r>
          </w:p>
        </w:tc>
        <w:tc>
          <w:tcPr>
            <w:tcW w:type="dxa" w:w="4844"/>
          </w:tcPr>
          <w:p>
            <w:r>
              <w:t>99.0 м²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Этажей / площадь</w:t>
            </w:r>
          </w:p>
        </w:tc>
        <w:tc>
          <w:tcPr>
            <w:tcW w:type="dxa" w:w="4844"/>
          </w:tcPr>
          <w:p>
            <w:r>
              <w:t>1 / 94.0 м²</w:t>
            </w:r>
          </w:p>
        </w:tc>
      </w:tr>
    </w:tbl>
    <w:p>
      <w:pPr>
        <w:pStyle w:val="Heading1"/>
      </w:pPr>
      <w:r>
        <w:t>Состав помещений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30"/>
        <w:gridCol w:w="3230"/>
        <w:gridCol w:w="3230"/>
      </w:tblGrid>
      <w:tr>
        <w:trPr>
          <w:tblHeader w:val="true"/>
          <w:cantSplit w:val="true"/>
        </w:trPr>
        <w:tc>
          <w:tcPr>
            <w:tcW w:type="dxa" w:w="3230"/>
          </w:tcPr>
          <w:p>
            <w:r/>
            <w:r>
              <w:rPr>
                <w:b/>
              </w:rPr>
              <w:t>Этаж</w:t>
            </w:r>
          </w:p>
        </w:tc>
        <w:tc>
          <w:tcPr>
            <w:tcW w:type="dxa" w:w="3230"/>
          </w:tcPr>
          <w:p>
            <w:r/>
            <w:r>
              <w:rPr>
                <w:b/>
              </w:rPr>
              <w:t>Помещение</w:t>
            </w:r>
          </w:p>
        </w:tc>
        <w:tc>
          <w:tcPr>
            <w:tcW w:type="dxa" w:w="3230"/>
          </w:tcPr>
          <w:p>
            <w:r/>
            <w:r>
              <w:rPr>
                <w:b/>
              </w:rPr>
              <w:t>Площадь, м²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Тамбур</w:t>
            </w:r>
          </w:p>
        </w:tc>
        <w:tc>
          <w:tcPr>
            <w:tcW w:type="dxa" w:w="3230"/>
          </w:tcPr>
          <w:p>
            <w:r>
              <w:t>2.2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Прихожая</w:t>
            </w:r>
          </w:p>
        </w:tc>
        <w:tc>
          <w:tcPr>
            <w:tcW w:type="dxa" w:w="3230"/>
          </w:tcPr>
          <w:p>
            <w:r>
              <w:t>7.7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Кухня-гостиная</w:t>
            </w:r>
          </w:p>
        </w:tc>
        <w:tc>
          <w:tcPr>
            <w:tcW w:type="dxa" w:w="3230"/>
          </w:tcPr>
          <w:p>
            <w:r>
              <w:t>26.7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Терраса</w:t>
            </w:r>
          </w:p>
        </w:tc>
        <w:tc>
          <w:tcPr>
            <w:tcW w:type="dxa" w:w="3230"/>
          </w:tcPr>
          <w:p>
            <w:r>
              <w:t>7.7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Спальня (мастер)</w:t>
            </w:r>
          </w:p>
        </w:tc>
        <w:tc>
          <w:tcPr>
            <w:tcW w:type="dxa" w:w="3230"/>
          </w:tcPr>
          <w:p>
            <w:r>
              <w:t>11.4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Шкаф (Спальня (мастер))</w:t>
            </w:r>
          </w:p>
        </w:tc>
        <w:tc>
          <w:tcPr>
            <w:tcW w:type="dxa" w:w="3230"/>
          </w:tcPr>
          <w:p>
            <w:r>
              <w:t>3.6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Коридор</w:t>
            </w:r>
          </w:p>
        </w:tc>
        <w:tc>
          <w:tcPr>
            <w:tcW w:type="dxa" w:w="3230"/>
          </w:tcPr>
          <w:p>
            <w:r>
              <w:t>10.8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Детская</w:t>
            </w:r>
          </w:p>
        </w:tc>
        <w:tc>
          <w:tcPr>
            <w:tcW w:type="dxa" w:w="3230"/>
          </w:tcPr>
          <w:p>
            <w:r>
              <w:t>9.1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Спальня 2</w:t>
            </w:r>
          </w:p>
        </w:tc>
        <w:tc>
          <w:tcPr>
            <w:tcW w:type="dxa" w:w="3230"/>
          </w:tcPr>
          <w:p>
            <w:r>
              <w:t>8.8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Санузел</w:t>
            </w:r>
          </w:p>
        </w:tc>
        <w:tc>
          <w:tcPr>
            <w:tcW w:type="dxa" w:w="3230"/>
          </w:tcPr>
          <w:p>
            <w:r>
              <w:t>2.5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Котельная</w:t>
            </w:r>
          </w:p>
        </w:tc>
        <w:tc>
          <w:tcPr>
            <w:tcW w:type="dxa" w:w="3230"/>
          </w:tcPr>
          <w:p>
            <w:r>
              <w:t>4.6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Санузел 2</w:t>
            </w:r>
          </w:p>
        </w:tc>
        <w:tc>
          <w:tcPr>
            <w:tcW w:type="dxa" w:w="3230"/>
          </w:tcPr>
          <w:p>
            <w:r>
              <w:t>3.9</w:t>
            </w:r>
          </w:p>
        </w:tc>
      </w:tr>
    </w:tbl>
    <w:p>
      <w:pPr>
        <w:pStyle w:val="Heading1"/>
      </w:pPr>
      <w:r>
        <w:t>Смета стройки (укрупнённая оценка по нормативам и рынку 2026)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rPr>
          <w:tblHeader w:val="true"/>
          <w:cantSplit w:val="true"/>
        </w:trPr>
        <w:tc>
          <w:tcPr>
            <w:tcW w:type="dxa" w:w="4844"/>
          </w:tcPr>
          <w:p>
            <w:r/>
            <w:r>
              <w:rPr>
                <w:b/>
              </w:rPr>
              <w:t>Раздел</w:t>
            </w:r>
          </w:p>
        </w:tc>
        <w:tc>
          <w:tcPr>
            <w:tcW w:type="dxa" w:w="4844"/>
          </w:tcPr>
          <w:p>
            <w:r/>
            <w:r>
              <w:rPr>
                <w:b/>
              </w:rPr>
              <w:t>Стоимость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Фундамент и нулевой цикл</w:t>
            </w:r>
          </w:p>
        </w:tc>
        <w:tc>
          <w:tcPr>
            <w:tcW w:type="dxa" w:w="4844"/>
          </w:tcPr>
          <w:p>
            <w:r>
              <w:t>2 033 220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Коробка: стены и перекрытия</w:t>
            </w:r>
          </w:p>
        </w:tc>
        <w:tc>
          <w:tcPr>
            <w:tcW w:type="dxa" w:w="4844"/>
          </w:tcPr>
          <w:p>
            <w:r>
              <w:t>3 388 700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Кровля и водосток</w:t>
            </w:r>
          </w:p>
        </w:tc>
        <w:tc>
          <w:tcPr>
            <w:tcW w:type="dxa" w:w="4844"/>
          </w:tcPr>
          <w:p>
            <w:r>
              <w:t>1 355 480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Окна и наружные двери</w:t>
            </w:r>
          </w:p>
        </w:tc>
        <w:tc>
          <w:tcPr>
            <w:tcW w:type="dxa" w:w="4844"/>
          </w:tcPr>
          <w:p>
            <w:r>
              <w:t>1 084 384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Фасад и наружная отделка</w:t>
            </w:r>
          </w:p>
        </w:tc>
        <w:tc>
          <w:tcPr>
            <w:tcW w:type="dxa" w:w="4844"/>
          </w:tcPr>
          <w:p>
            <w:r>
              <w:t>1 084 384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Инженерия внутренняя</w:t>
            </w:r>
          </w:p>
        </w:tc>
        <w:tc>
          <w:tcPr>
            <w:tcW w:type="dxa" w:w="4844"/>
          </w:tcPr>
          <w:p>
            <w:r>
              <w:t>1 897 672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Внутренняя отделка</w:t>
            </w:r>
          </w:p>
        </w:tc>
        <w:tc>
          <w:tcPr>
            <w:tcW w:type="dxa" w:w="4844"/>
          </w:tcPr>
          <w:p>
            <w:r>
              <w:t>2 710 960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Утепление сверх базового (ГСОП региона)</w:t>
            </w:r>
          </w:p>
        </w:tc>
        <w:tc>
          <w:tcPr>
            <w:tcW w:type="dxa" w:w="4844"/>
          </w:tcPr>
          <w:p>
            <w:r>
              <w:t>1 293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Резерв 7%</w:t>
            </w:r>
          </w:p>
        </w:tc>
        <w:tc>
          <w:tcPr>
            <w:tcW w:type="dxa" w:w="4844"/>
          </w:tcPr>
          <w:p>
            <w:r>
              <w:t>948 927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СТРОЙКА — ИТОГО</w:t>
            </w:r>
          </w:p>
        </w:tc>
        <w:tc>
          <w:tcPr>
            <w:tcW w:type="dxa" w:w="4844"/>
          </w:tcPr>
          <w:p>
            <w:r>
              <w:t>14 505 020 ₽</w:t>
            </w:r>
          </w:p>
        </w:tc>
      </w:tr>
    </w:tbl>
    <w:p>
      <w:r>
        <w:t>Технология: кирпич (стандарт)  регион: Москва (коэф. 1.03); 144 200 ₽/м² × 94 м² + резерв 7% = 14 505 020 ₽ (диапазон 11 604 016–17 406 024 ₽  ±20%). Опора: официальные укрупнённые строительные нормативы и рыночные данные 2026. Резерв 7% — рыночная практика для твёрдой цены (отраслевой норматив — 2%). Не входит: земля  внешние сети участка  благоустройство  мебель  проектные расходы. Предварительная укрупнённая оценка  не заменяет объектную смету проектировщика; итоговую фиксированную цену для банка подтверждает подрядчик. Утепление по ГСОП 4900 (стены 120 мм  кровля 200 мм): доплата 1 293 ₽ относительно средней полосы.</w:t>
      </w:r>
    </w:p>
    <w:p>
      <w:pPr>
        <w:pStyle w:val="Heading1"/>
      </w:pPr>
      <w:r>
        <w:t>Обстановка и отделка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rPr>
          <w:tblHeader w:val="true"/>
          <w:cantSplit w:val="true"/>
        </w:trPr>
        <w:tc>
          <w:tcPr>
            <w:tcW w:type="dxa" w:w="4844"/>
          </w:tcPr>
          <w:p>
            <w:r/>
            <w:r>
              <w:rPr>
                <w:b/>
              </w:rPr>
              <w:t>Категория</w:t>
            </w:r>
          </w:p>
        </w:tc>
        <w:tc>
          <w:tcPr>
            <w:tcW w:type="dxa" w:w="4844"/>
          </w:tcPr>
          <w:p>
            <w:r/>
            <w:r>
              <w:rPr>
                <w:b/>
              </w:rPr>
              <w:t>Сумма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мебель</w:t>
            </w:r>
          </w:p>
        </w:tc>
        <w:tc>
          <w:tcPr>
            <w:tcW w:type="dxa" w:w="4844"/>
          </w:tcPr>
          <w:p>
            <w:r>
              <w:t>1 070 979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сантехника</w:t>
            </w:r>
          </w:p>
        </w:tc>
        <w:tc>
          <w:tcPr>
            <w:tcW w:type="dxa" w:w="4844"/>
          </w:tcPr>
          <w:p>
            <w:r>
              <w:t>307 950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материалы</w:t>
            </w:r>
          </w:p>
        </w:tc>
        <w:tc>
          <w:tcPr>
            <w:tcW w:type="dxa" w:w="4844"/>
          </w:tcPr>
          <w:p>
            <w:r>
              <w:t>298 695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кухня</w:t>
            </w:r>
          </w:p>
        </w:tc>
        <w:tc>
          <w:tcPr>
            <w:tcW w:type="dxa" w:w="4844"/>
          </w:tcPr>
          <w:p>
            <w:r>
              <w:t>229 709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шкаф-купе</w:t>
            </w:r>
          </w:p>
        </w:tc>
        <w:tc>
          <w:tcPr>
            <w:tcW w:type="dxa" w:w="4844"/>
          </w:tcPr>
          <w:p>
            <w:r>
              <w:t>128 257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двери</w:t>
            </w:r>
          </w:p>
        </w:tc>
        <w:tc>
          <w:tcPr>
            <w:tcW w:type="dxa" w:w="4844"/>
          </w:tcPr>
          <w:p>
            <w:r>
              <w:t>27 135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ОБСТАНОВКА — ИТОГО</w:t>
            </w:r>
          </w:p>
        </w:tc>
        <w:tc>
          <w:tcPr>
            <w:tcW w:type="dxa" w:w="4844"/>
          </w:tcPr>
          <w:p>
            <w:r>
              <w:t>2 062 725 ₽</w:t>
            </w:r>
          </w:p>
        </w:tc>
      </w:tr>
    </w:tbl>
    <w:p>
      <w:pPr>
        <w:pStyle w:val="Heading1"/>
      </w:pPr>
      <w:r>
        <w:t>Инженерные сети (внутренние) и слаботочка</w:t>
      </w:r>
    </w:p>
    <w:p>
      <w:r>
        <w:t>Итого: 589 085 ₽ (норма «под ключ», дизайнер уточняет).</w:t>
      </w:r>
    </w:p>
    <w:p>
      <w:pPr>
        <w:pStyle w:val="Heading1"/>
      </w:pPr>
      <w:r>
        <w:t>Важно</w:t>
      </w:r>
    </w:p>
    <w:p>
      <w:pPr>
        <w:pStyle w:val="ListBullet"/>
      </w:pPr>
      <w:r>
        <w:t>Предварительная оценка по ГОСТ Р 57795-2017 и СанПиН 1.2.3685-21. НЕ проектная документация, не заменяет расчёт инсоляции/КЕО и экспертизу.</w:t>
      </w:r>
    </w:p>
    <w:p>
      <w:pPr>
        <w:pStyle w:val="ListBullet"/>
      </w:pPr>
      <w:r>
        <w:t>Отступы — федеральные значения по умолчанию; финально уточняются по ПЗЗ участка.</w:t>
      </w:r>
    </w:p>
    <w:p>
      <w:pPr>
        <w:pStyle w:val="ListBullet"/>
      </w:pPr>
      <w:r>
        <w:t>Смета — укрупнённая оценка по официальным нормативам и рынку 2026 с резервом; итоговую цену подтверждает подрядчик. Мебель и отделка подбирается из интернет-магазинов со ссылками на них в виде коммерческого предложения.</w:t>
      </w:r>
    </w:p>
    <w:p>
      <w:pPr>
        <w:pStyle w:val="ListBullet"/>
      </w:pPr>
      <w:r>
        <w:t>Границы охранных зон, пожарные разрывы и обременения соседних участков в расчёте не учтены.</w:t>
      </w:r>
    </w:p>
    <w:p>
      <w:pPr>
        <w:pStyle w:val="ListBullet"/>
      </w:pPr>
      <w:r>
        <w:t>Паспорт — предварительный, не является проектной документацией; для банка/эскроу требуется доработка.</w:t>
      </w:r>
    </w:p>
    <w:sectPr w:rsidR="00FC693F" w:rsidRPr="0006063C" w:rsidSect="00034616"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Планари ИЖС · planari.ru/house</w:t>
    </w:r>
    <w:r>
      <w:tab/>
      <w:tab/>
      <w:t xml:space="preserve">стр.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